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C51F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40"/>
        </w:rPr>
        <w:t>Анализ ВПР по математике в 6 «Б» классе учитель Ашракаева З.Ю.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40"/>
        </w:rPr>
        <w:t>2020 – 2021 уч. год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Назначение ВПР по математике – оценить уровень общеобразовательной подготовки обучающихся 6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На выполнение работы было отведено 60 минут.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Работу выполняли 23 учащихся (92%) :.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Работа содержит 14 заданий.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 заданиях 1–5, 7,8,11, 12 (пункт 1), 13 необходимо записать только ответ.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 задании 12 (пункт 2) нужно изобразить требуемые элементы рисунка.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 заданиях 6, 9, 10, 14 требуется записать решение и ответ.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Каждое верно выполненное задание 1–5, 7,8,11, 12 (пункт 1), 12 (пункт 2), 13 оценивается 1 баллом.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6, 9, 10, 14 оценивается от 0 до 2 баллов.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Максимальный балл 19  баллов.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32"/>
        </w:rPr>
        <w:t>Таблица соотношения процента выполненного задания с его содержанием.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владение понятием «делимость чисел».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23) – 12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52%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владение понятием «обыкновенная дробь».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23) – 8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35%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3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владение понятием «десятичная дробь».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- 17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74%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умение находить часть числа и число по его части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35%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5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Контролируется умение находить неизвестный компонент арифметического действия.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2) – 12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52% 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6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Проверяются умения решать текстовые задачи с практическим содержанием.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30%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Проверяются умения решать текстовые задачи с практическим содержанием.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20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87%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Проверяются умения решать текстовые задачи на проценты.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14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61%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9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умение находить значение арифметического выражения с натуральными числами, содержащего скобки.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35%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3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Процент выполнивших задание – 13%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11(1)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Направлено на проверку умения применять диаграммы.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23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Процент выполнивших задание – 100%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11(2)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Направлено на проверку умения применять диаграммы в решении задач.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23) – 21 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Процент выполнивших задание – 91%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12(1)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Направлено на проверку умения применять геометрические представления при решении практических задач.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12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52%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12(2)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Проверка навыков геометрических построений.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23) – 7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30%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13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развитие пространственных представлений.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2) – 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30%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23) – 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0%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32"/>
        </w:rPr>
        <w:t>Следует уделить внимание укреплению следующих навыков: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Оперировать на базовом уровне понятием «десятичная дробь», «обыкновенная дробь»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задачи на нахождение части числа и числа по его части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несложные сюжетные задачи разных типов на все арифметические действия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задачи на покупки, решать несложные логические за- дачи методом рассуждений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Вычислять расстояния на местности в стандартных ситуациях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Выполнять простейшие построения и измерения на местности, необходимые в реальной жизни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Оперировать на базовом уровне понятиями: «прямоугольный параллелепипед», «куб», «шар»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</w:pPr>
      <w:r>
        <w:rPr>
          <w:color w:val="000000"/>
          <w:sz w:val="27"/>
        </w:rPr>
        <w:t>Решать простые и сложные задачи разных типов, а также задачи повышенной трудности.</w:t>
      </w:r>
    </w:p>
    <w:p>
      <w:pPr>
        <w:rPr>
          <w:sz w:val="28"/>
        </w:rPr>
      </w:pPr>
      <w:r>
        <w:rPr>
          <w:sz w:val="28"/>
        </w:rPr>
        <w:t xml:space="preserve">«5» - </w:t>
      </w:r>
      <w:r>
        <w:rPr>
          <w:sz w:val="28"/>
        </w:rPr>
        <w:t>2</w:t>
      </w:r>
      <w:r>
        <w:rPr>
          <w:sz w:val="28"/>
        </w:rPr>
        <w:t xml:space="preserve"> </w:t>
      </w:r>
    </w:p>
    <w:p>
      <w:pPr>
        <w:rPr>
          <w:sz w:val="28"/>
        </w:rPr>
      </w:pPr>
      <w:r>
        <w:rPr>
          <w:sz w:val="28"/>
        </w:rPr>
        <w:t xml:space="preserve">«4» - </w:t>
      </w:r>
      <w:r>
        <w:rPr>
          <w:sz w:val="28"/>
        </w:rPr>
        <w:t>5</w:t>
      </w:r>
      <w:r>
        <w:rPr>
          <w:sz w:val="28"/>
        </w:rPr>
        <w:t xml:space="preserve"> </w:t>
      </w:r>
    </w:p>
    <w:p>
      <w:pPr>
        <w:rPr>
          <w:sz w:val="28"/>
        </w:rPr>
      </w:pPr>
      <w:r>
        <w:rPr>
          <w:sz w:val="28"/>
        </w:rPr>
        <w:t>«3» - 1</w:t>
      </w:r>
      <w:r>
        <w:rPr>
          <w:sz w:val="28"/>
        </w:rPr>
        <w:t>4</w:t>
      </w:r>
    </w:p>
    <w:p>
      <w:pPr>
        <w:rPr>
          <w:sz w:val="28"/>
        </w:rPr>
      </w:pPr>
      <w:r>
        <w:rPr>
          <w:sz w:val="28"/>
        </w:rPr>
        <w:t xml:space="preserve">«2» - </w:t>
      </w:r>
      <w:r>
        <w:rPr>
          <w:sz w:val="28"/>
        </w:rPr>
        <w:t>2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усп. – </w:t>
      </w:r>
      <w:r>
        <w:rPr>
          <w:sz w:val="28"/>
        </w:rPr>
        <w:t>91,3</w:t>
      </w:r>
      <w:r>
        <w:rPr>
          <w:sz w:val="28"/>
        </w:rPr>
        <w:t>%</w:t>
      </w:r>
    </w:p>
    <w:p>
      <w:pPr>
        <w:rPr>
          <w:sz w:val="28"/>
        </w:rPr>
      </w:pPr>
      <w:r>
        <w:rPr>
          <w:sz w:val="28"/>
        </w:rPr>
        <w:t xml:space="preserve">кач. – </w:t>
      </w:r>
      <w:r>
        <w:rPr>
          <w:sz w:val="28"/>
        </w:rPr>
        <w:t>30,4</w:t>
      </w:r>
      <w:r>
        <w:rPr>
          <w:sz w:val="28"/>
        </w:rPr>
        <w:t>%</w:t>
      </w:r>
    </w:p>
    <w:p>
      <w:pPr>
        <w:rPr>
          <w:sz w:val="28"/>
        </w:rPr>
      </w:pPr>
      <w:r>
        <w:rPr>
          <w:sz w:val="28"/>
        </w:rPr>
        <w:t>ср. б. – 3,</w:t>
      </w:r>
      <w:r>
        <w:rPr>
          <w:sz w:val="28"/>
        </w:rPr>
        <w:t>3</w:t>
      </w:r>
    </w:p>
    <w:p>
      <w:pPr>
        <w:rPr>
          <w:sz w:val="28"/>
        </w:rPr>
      </w:pPr>
      <w:r>
        <w:rPr>
          <w:sz w:val="28"/>
        </w:rPr>
        <w:t>СОУ – 4</w:t>
      </w:r>
      <w:r>
        <w:rPr>
          <w:sz w:val="28"/>
        </w:rPr>
        <w:t>5,9</w:t>
      </w:r>
      <w:r>
        <w:rPr>
          <w:sz w:val="28"/>
        </w:rPr>
        <w:t>%</w:t>
      </w:r>
      <w:bookmarkStart w:id="0" w:name="_GoBack"/>
      <w:bookmarkEnd w:id="0"/>
    </w:p>
    <w:sectPr>
      <w:type w:val="continuous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FA53E9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